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C337FB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9F066A">
        <w:rPr>
          <w:b/>
          <w:bCs/>
          <w:sz w:val="20"/>
          <w:szCs w:val="20"/>
          <w:lang w:val="it-IT"/>
        </w:rPr>
        <w:t>LA POST PRODUZIONE CON DAVINCI RESOLVE STUDIO – III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6DD6A" w14:textId="77777777" w:rsidR="00C369A8" w:rsidRDefault="00C369A8" w:rsidP="008B7D6C">
      <w:r>
        <w:separator/>
      </w:r>
    </w:p>
  </w:endnote>
  <w:endnote w:type="continuationSeparator" w:id="0">
    <w:p w14:paraId="305BB7B6" w14:textId="77777777" w:rsidR="00C369A8" w:rsidRDefault="00C369A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FB74" w14:textId="77777777" w:rsidR="00C369A8" w:rsidRDefault="00C369A8" w:rsidP="008B7D6C">
      <w:r>
        <w:separator/>
      </w:r>
    </w:p>
  </w:footnote>
  <w:footnote w:type="continuationSeparator" w:id="0">
    <w:p w14:paraId="6A75766E" w14:textId="77777777" w:rsidR="00C369A8" w:rsidRDefault="00C369A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66A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369A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671B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2025-04-14T09:06:00Z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